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E6" w:rsidRPr="00EE7CE6" w:rsidRDefault="00EE7CE6" w:rsidP="00EE7CE6">
      <w:pPr>
        <w:spacing w:after="0" w:line="240" w:lineRule="auto"/>
        <w:jc w:val="center"/>
        <w:rPr>
          <w:rFonts w:ascii="Comic Sans MS" w:hAnsi="Comic Sans MS" w:cs="Helvetica"/>
          <w:color w:val="943634" w:themeColor="accent2" w:themeShade="BF"/>
          <w:sz w:val="28"/>
          <w:szCs w:val="28"/>
          <w:lang w:bidi="he-IL"/>
        </w:rPr>
      </w:pPr>
      <w:r w:rsidRPr="00EE7CE6">
        <w:rPr>
          <w:rFonts w:ascii="Comic Sans MS" w:hAnsi="Comic Sans MS" w:cs="Noto Sans"/>
          <w:b/>
          <w:color w:val="943634" w:themeColor="accent2" w:themeShade="BF"/>
          <w:sz w:val="28"/>
          <w:szCs w:val="28"/>
        </w:rPr>
        <w:t>«</w:t>
      </w:r>
      <w:r w:rsidRPr="00EE7CE6">
        <w:rPr>
          <w:rStyle w:val="a3"/>
          <w:rFonts w:ascii="Comic Sans MS" w:hAnsi="Comic Sans MS" w:cs="Noto Sans"/>
          <w:b/>
          <w:color w:val="943634" w:themeColor="accent2" w:themeShade="BF"/>
          <w:sz w:val="28"/>
          <w:szCs w:val="28"/>
        </w:rPr>
        <w:t>Τα Μυστικά του Θησαυροφυλακίου</w:t>
      </w:r>
      <w:r w:rsidRPr="00EE7CE6">
        <w:rPr>
          <w:rFonts w:ascii="Comic Sans MS" w:hAnsi="Comic Sans MS" w:cs="Noto Sans"/>
          <w:b/>
          <w:color w:val="943634" w:themeColor="accent2" w:themeShade="BF"/>
          <w:sz w:val="28"/>
          <w:szCs w:val="28"/>
        </w:rPr>
        <w:t>» στο Αρχαιολογικό Μουσείο Πάτρας</w:t>
      </w:r>
    </w:p>
    <w:p w:rsidR="00EE7CE6" w:rsidRPr="00EE7CE6" w:rsidRDefault="00EE7CE6" w:rsidP="00EE7CE6">
      <w:pPr>
        <w:spacing w:after="0" w:line="240" w:lineRule="auto"/>
        <w:ind w:firstLine="720"/>
        <w:jc w:val="right"/>
        <w:rPr>
          <w:rFonts w:ascii="Comic Sans MS" w:hAnsi="Comic Sans MS" w:cs="Helvetica"/>
          <w:sz w:val="28"/>
          <w:szCs w:val="28"/>
          <w:lang w:bidi="he-IL"/>
        </w:rPr>
      </w:pPr>
    </w:p>
    <w:p w:rsidR="00EE7CE6" w:rsidRDefault="00EE7CE6" w:rsidP="00EE7CE6">
      <w:pPr>
        <w:spacing w:after="0" w:line="240" w:lineRule="auto"/>
        <w:ind w:firstLine="720"/>
        <w:jc w:val="right"/>
        <w:rPr>
          <w:rFonts w:ascii="Comic Sans MS" w:hAnsi="Comic Sans MS" w:cs="Helvetica"/>
          <w:sz w:val="24"/>
          <w:szCs w:val="24"/>
          <w:lang w:bidi="he-IL"/>
        </w:rPr>
      </w:pPr>
      <w:r>
        <w:rPr>
          <w:rFonts w:ascii="Comic Sans MS" w:hAnsi="Comic Sans MS" w:cs="Helvetica"/>
          <w:sz w:val="24"/>
          <w:szCs w:val="24"/>
          <w:lang w:bidi="he-IL"/>
        </w:rPr>
        <w:t>Του Γιάννη Μόσχου</w:t>
      </w:r>
    </w:p>
    <w:p w:rsidR="00EE7CE6" w:rsidRPr="00EE7CE6" w:rsidRDefault="00EE7CE6" w:rsidP="00EE7CE6">
      <w:pPr>
        <w:spacing w:after="0" w:line="240" w:lineRule="auto"/>
        <w:ind w:firstLine="720"/>
        <w:jc w:val="right"/>
        <w:rPr>
          <w:rFonts w:ascii="Comic Sans MS" w:hAnsi="Comic Sans MS" w:cs="Helvetica"/>
          <w:sz w:val="16"/>
          <w:szCs w:val="16"/>
          <w:lang w:bidi="he-IL"/>
        </w:rPr>
      </w:pPr>
    </w:p>
    <w:p w:rsidR="0017459D" w:rsidRPr="00EE7CE6" w:rsidRDefault="0017459D" w:rsidP="00EE7CE6">
      <w:pPr>
        <w:spacing w:after="0" w:line="240" w:lineRule="auto"/>
        <w:ind w:firstLine="720"/>
        <w:jc w:val="both"/>
        <w:rPr>
          <w:rFonts w:ascii="Comic Sans MS" w:hAnsi="Comic Sans MS" w:cs="Helvetica"/>
          <w:sz w:val="24"/>
          <w:szCs w:val="24"/>
          <w:lang w:bidi="he-IL"/>
        </w:rPr>
      </w:pPr>
      <w:r w:rsidRPr="00EE7CE6">
        <w:rPr>
          <w:rFonts w:ascii="Comic Sans MS" w:hAnsi="Comic Sans MS" w:cs="Helvetica"/>
          <w:sz w:val="24"/>
          <w:szCs w:val="24"/>
          <w:lang w:bidi="he-IL"/>
        </w:rPr>
        <w:t xml:space="preserve">Η έκθεση περιλαμβάνει πολύτιμα αντικείμενα, στη συντριπτική τους πλειονότητα χρυσά και αργυρά, τα οποία φυλάσσονται στο θησαυροφυλάκιο της Εφορείας και παραμένουν αθέατα για το ευρύ κοινό, συνιστώντας παράλληλα μία μοναδική θεματική συλλογή που διαρκώς εμπλουτίζεται από τις συνεχιζόμενες ανασκαφές. Αφορμή για τον σχεδιασμό της έκθεσης στάθηκε η πρόθεση να καταστεί προσιτός στον επισκέπτη ένας ειδικά ασφαλισμένος αποθηκευτικός χώρος, που λόγω της ιδιαιτερότητάς του εξάπτει τη φαντασία του κοινού και αυξάνει το ενδιαφέρον και τις προσδοκίες του. </w:t>
      </w:r>
    </w:p>
    <w:p w:rsidR="0017459D" w:rsidRPr="00EE7CE6" w:rsidRDefault="0017459D" w:rsidP="00EE7CE6">
      <w:pPr>
        <w:spacing w:after="0" w:line="240" w:lineRule="auto"/>
        <w:ind w:firstLine="720"/>
        <w:jc w:val="both"/>
        <w:rPr>
          <w:rFonts w:ascii="Comic Sans MS" w:hAnsi="Comic Sans MS" w:cs="Helvetica"/>
          <w:sz w:val="24"/>
          <w:szCs w:val="24"/>
          <w:lang w:bidi="he-IL"/>
        </w:rPr>
      </w:pPr>
      <w:r w:rsidRPr="00EE7CE6">
        <w:rPr>
          <w:rFonts w:ascii="Comic Sans MS" w:hAnsi="Comic Sans MS" w:cs="Helvetica"/>
          <w:sz w:val="24"/>
          <w:szCs w:val="24"/>
          <w:lang w:bidi="he-IL"/>
        </w:rPr>
        <w:t xml:space="preserve">Η οργάνωση της έκθεσης λαμβάνει υπόψη τη μόνιμη συλλογή του Αρχαιολογικού Μουσείου Πατρών, αποτελώντας μία περιοδική προσθήκη που αφήνει την εντύπωση της ανανέωσης και του εμπλουτισμού, χωρίς ωστόσο να παραβλέπονται τα αυτόνομα χαρακτηριστικά της, τα οποία προβάλλονται δεόντως και με σαφήνεια. </w:t>
      </w:r>
    </w:p>
    <w:p w:rsidR="0017459D" w:rsidRPr="00EE7CE6" w:rsidRDefault="0017459D" w:rsidP="00EE7CE6">
      <w:pPr>
        <w:spacing w:after="0" w:line="240" w:lineRule="auto"/>
        <w:ind w:firstLine="720"/>
        <w:jc w:val="both"/>
        <w:rPr>
          <w:rFonts w:ascii="Comic Sans MS" w:hAnsi="Comic Sans MS" w:cs="Helvetica"/>
          <w:sz w:val="24"/>
          <w:szCs w:val="24"/>
          <w:lang w:bidi="he-IL"/>
        </w:rPr>
      </w:pPr>
      <w:r w:rsidRPr="00EE7CE6">
        <w:rPr>
          <w:rFonts w:ascii="Comic Sans MS" w:hAnsi="Comic Sans MS" w:cs="Helvetica"/>
          <w:sz w:val="24"/>
          <w:szCs w:val="24"/>
          <w:lang w:bidi="he-IL"/>
        </w:rPr>
        <w:t xml:space="preserve">Τα αντικείμενα, που εκτίθεται για πρώτη φορά στο κοινό, κυρίως κοσμήματα, θησαυροί νομισμάτων και λοιπά πολύτιμα </w:t>
      </w:r>
      <w:proofErr w:type="spellStart"/>
      <w:r w:rsidRPr="00EE7CE6">
        <w:rPr>
          <w:rFonts w:ascii="Comic Sans MS" w:hAnsi="Comic Sans MS" w:cs="Helvetica"/>
          <w:sz w:val="24"/>
          <w:szCs w:val="24"/>
          <w:lang w:bidi="he-IL"/>
        </w:rPr>
        <w:t>τέχνεργα</w:t>
      </w:r>
      <w:proofErr w:type="spellEnd"/>
      <w:r w:rsidRPr="00EE7CE6">
        <w:rPr>
          <w:rFonts w:ascii="Comic Sans MS" w:hAnsi="Comic Sans MS" w:cs="Helvetica"/>
          <w:sz w:val="24"/>
          <w:szCs w:val="24"/>
          <w:lang w:bidi="he-IL"/>
        </w:rPr>
        <w:t xml:space="preserve"> ειδικού προορισμού και χρήσης, καλύπτουν χρονικά ολόκληρη την αρχαιότητα και εκτείνονται μέχρι την περίοδο της </w:t>
      </w:r>
      <w:proofErr w:type="spellStart"/>
      <w:r w:rsidRPr="00EE7CE6">
        <w:rPr>
          <w:rFonts w:ascii="Comic Sans MS" w:hAnsi="Comic Sans MS" w:cs="Helvetica"/>
          <w:sz w:val="24"/>
          <w:szCs w:val="24"/>
          <w:lang w:bidi="he-IL"/>
        </w:rPr>
        <w:t>Οθωμανοκρατίας</w:t>
      </w:r>
      <w:proofErr w:type="spellEnd"/>
      <w:r w:rsidRPr="00EE7CE6">
        <w:rPr>
          <w:rFonts w:ascii="Comic Sans MS" w:hAnsi="Comic Sans MS" w:cs="Helvetica"/>
          <w:sz w:val="24"/>
          <w:szCs w:val="24"/>
          <w:lang w:bidi="he-IL"/>
        </w:rPr>
        <w:t xml:space="preserve">. Φωτίζουν διαχρονικά μερικές ιδιαίτερες στιγμές της αρχαίας Αχαΐας, αλλά και τις συγκεκριμένες συγκυρίες που οδήγησαν στη συσσώρευση πλούτου και ώθησαν στο απόγειο την καλλιτεχνική δημιουργία σε εξεζητημένα και σπάνια υλικά. Πιστοποιούν πολιτιστικές σχέσεις και επαφές, καλλιτεχνικές αλληλεπιδράσεις, τοπικές προτιμήσεις, συναλλαγές οικονομικής και εμπορικής φύσεως, ανοικτούς ορίζοντες, συμβαδίζουν με τις ιστορικές εξελίξεις. Εκπροσωπούν την αίγλη και τη δύναμη των ανώτερων στρωμάτων της κοινωνικής πυραμίδας, προβάλλουν τις ανισότητες. Είναι ο αδιαμφισβήτητος δείκτης της οικονομικής ευρωστίας, της επίδειξης, του γοήτρου και του υψηλού κοινωνικού κύρους. Παράλληλα, αντιπροσωπεύουν την αισθητική της εποχής τους, συνδέονται με τα προσωπικά βιώματα, τις θρησκευτικές δοξασίες και τη μεταθανάτια ζωή, τη δεισιδαιμονία και γενικότερα με τις αντιλήψεις κάθε περιόδου. </w:t>
      </w:r>
    </w:p>
    <w:p w:rsidR="0013330A" w:rsidRDefault="0017459D" w:rsidP="00EE7CE6">
      <w:pPr>
        <w:spacing w:after="0" w:line="240" w:lineRule="auto"/>
        <w:ind w:firstLine="720"/>
        <w:jc w:val="both"/>
        <w:rPr>
          <w:rFonts w:ascii="Comic Sans MS" w:hAnsi="Comic Sans MS" w:cs="Helvetica"/>
          <w:sz w:val="24"/>
          <w:szCs w:val="24"/>
          <w:lang w:bidi="he-IL"/>
        </w:rPr>
      </w:pPr>
      <w:r w:rsidRPr="00EE7CE6">
        <w:rPr>
          <w:rFonts w:ascii="Comic Sans MS" w:hAnsi="Comic Sans MS" w:cs="Helvetica"/>
          <w:sz w:val="24"/>
          <w:szCs w:val="24"/>
          <w:lang w:bidi="he-IL"/>
        </w:rPr>
        <w:t>Ορισμένα από αυτά είναι απλά δημιουργήματα και η αξία τους προσδιοριζόταν από το υλικό κατασκευής τους. Άλλα είναι βαρύτιμα δείγματα της μικροτεχνίας, με συνδυασμό διαφορετικών τεχνικών κατασκευής και με μεγάλη καλλιτεχνική αξία, εξεζητημένα και πανάκριβα αποκτήματα. Ξεχωριστή βαρύτητα δίνεται στην έκθεση στα νεκρικά αντικείμενα, αυτά που κατασκευάστηκαν ειδικά για το στόλισμα και τη συνοδεία των νεκρών. Φθηνότερα στην κατασκευή τους, αλλά λεπτεπίλεπτα μικροτεχνήματα, ανοίγουν διάπλατα το παράθυρο των ταφικών εθίμων και δοξασιών και εισάγουν τον επισκέπτη στον σκοτεινό κόσμο των νεκρών, που ματαιόδοξα φώτιζε η λάμψη του χρυσού. Ανάλογη ματαιοδοξία στη συσσώρευση πλούτου αντανακλούν οι θησαυροί νομισμάτων, ορισμένοι με τεράστια χρηματικά ποσά, μεγάλες περιουσίες κρυμμένες από τους ιδιοκτήτες τους, θύματα οι ίδιοι και αφανείς μάρτυρες ραγδαίων ιστορικών γεγονότων που σημάδεψαν την πορεία της Αχαΐας.</w:t>
      </w:r>
    </w:p>
    <w:p w:rsidR="00EE7CE6" w:rsidRPr="00EE7CE6" w:rsidRDefault="00EE7CE6" w:rsidP="00EE7CE6">
      <w:pPr>
        <w:spacing w:after="0" w:line="240" w:lineRule="auto"/>
        <w:ind w:firstLine="720"/>
        <w:jc w:val="both"/>
        <w:rPr>
          <w:rFonts w:ascii="Comic Sans MS" w:hAnsi="Comic Sans MS" w:cs="Helvetica"/>
          <w:sz w:val="36"/>
          <w:szCs w:val="36"/>
          <w:lang w:bidi="he-IL"/>
        </w:rPr>
      </w:pPr>
      <w:r>
        <w:rPr>
          <w:rFonts w:ascii="Comic Sans MS" w:hAnsi="Comic Sans MS" w:cs="Helvetica"/>
          <w:sz w:val="24"/>
          <w:szCs w:val="24"/>
          <w:lang w:bidi="he-IL"/>
        </w:rPr>
        <w:t xml:space="preserve"> </w:t>
      </w:r>
    </w:p>
    <w:p w:rsidR="00EE7CE6" w:rsidRPr="00EE7CE6" w:rsidRDefault="00EE7CE6" w:rsidP="00EE7CE6">
      <w:pPr>
        <w:spacing w:after="0" w:line="240" w:lineRule="auto"/>
        <w:rPr>
          <w:rFonts w:ascii="Comic Sans MS" w:hAnsi="Comic Sans MS"/>
          <w:sz w:val="24"/>
          <w:szCs w:val="24"/>
        </w:rPr>
      </w:pPr>
      <w:proofErr w:type="spellStart"/>
      <w:r w:rsidRPr="00EE7CE6">
        <w:rPr>
          <w:rFonts w:ascii="Comic Sans MS" w:hAnsi="Comic Sans MS" w:cs="Noto Sans"/>
          <w:b/>
          <w:color w:val="943634" w:themeColor="accent2" w:themeShade="BF"/>
          <w:sz w:val="24"/>
          <w:szCs w:val="24"/>
        </w:rPr>
        <w:t>Επίσκεψη–ξενάγηση</w:t>
      </w:r>
      <w:proofErr w:type="spellEnd"/>
      <w:r w:rsidRPr="00EE7CE6">
        <w:rPr>
          <w:rFonts w:ascii="Comic Sans MS" w:hAnsi="Comic Sans MS" w:cs="Noto Sans"/>
          <w:b/>
          <w:color w:val="943634" w:themeColor="accent2" w:themeShade="BF"/>
          <w:sz w:val="24"/>
          <w:szCs w:val="24"/>
        </w:rPr>
        <w:t xml:space="preserve"> με την Κοινο_Τοπία, Αρχαιολογικό Μουσείο, 21 Ιανουαρίου 2024</w:t>
      </w:r>
    </w:p>
    <w:sectPr w:rsidR="00EE7CE6" w:rsidRPr="00EE7CE6" w:rsidSect="00EE7CE6">
      <w:pgSz w:w="11906" w:h="16838"/>
      <w:pgMar w:top="1135" w:right="1133"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charset w:val="00"/>
    <w:family w:val="swiss"/>
    <w:pitch w:val="variable"/>
    <w:sig w:usb0="E00002FF" w:usb1="4000001F" w:usb2="08000029"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4"/>
  <w:proofState w:spelling="clean" w:grammar="clean"/>
  <w:defaultTabStop w:val="720"/>
  <w:characterSpacingControl w:val="doNotCompress"/>
  <w:compat>
    <w:useFELayout/>
  </w:compat>
  <w:rsids>
    <w:rsidRoot w:val="0017459D"/>
    <w:rsid w:val="0013330A"/>
    <w:rsid w:val="0017459D"/>
    <w:rsid w:val="008C4947"/>
    <w:rsid w:val="00EE7C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9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E7CE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475</Words>
  <Characters>2567</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KT</dc:creator>
  <cp:keywords/>
  <dc:description/>
  <cp:lastModifiedBy>Χρήστης των Windows</cp:lastModifiedBy>
  <cp:revision>3</cp:revision>
  <dcterms:created xsi:type="dcterms:W3CDTF">2024-01-09T07:52:00Z</dcterms:created>
  <dcterms:modified xsi:type="dcterms:W3CDTF">2024-01-09T10:01:00Z</dcterms:modified>
</cp:coreProperties>
</file>